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A149B" w:rsidRPr="006A149B" w:rsidRDefault="006A149B" w:rsidP="006A149B">
      <w:pPr>
        <w:rPr>
          <w:rFonts w:ascii="Arial" w:hAnsi="Arial" w:cs="Arial"/>
          <w:color w:val="000000"/>
          <w:sz w:val="22"/>
        </w:rPr>
      </w:pPr>
      <w:r w:rsidRPr="006A149B">
        <w:rPr>
          <w:rFonts w:ascii="Arial" w:hAnsi="Arial" w:cs="Arial"/>
          <w:color w:val="000000"/>
          <w:sz w:val="22"/>
        </w:rPr>
        <w:t>Sygn. akt. IVP 191/19</w:t>
      </w:r>
    </w:p>
    <w:p w:rsidR="006A149B" w:rsidRPr="006A149B" w:rsidRDefault="006A149B" w:rsidP="006A149B">
      <w:pPr>
        <w:jc w:val="center"/>
        <w:rPr>
          <w:rFonts w:ascii="Arial" w:hAnsi="Arial" w:cs="Arial"/>
          <w:b/>
          <w:color w:val="000000"/>
          <w:sz w:val="22"/>
        </w:rPr>
      </w:pPr>
    </w:p>
    <w:p w:rsidR="006A149B" w:rsidRPr="006A149B" w:rsidRDefault="006A149B" w:rsidP="006A149B">
      <w:pPr>
        <w:jc w:val="center"/>
        <w:rPr>
          <w:rFonts w:ascii="Arial" w:hAnsi="Arial" w:cs="Arial"/>
          <w:b/>
          <w:color w:val="000000"/>
          <w:sz w:val="22"/>
        </w:rPr>
      </w:pPr>
      <w:r w:rsidRPr="006A149B">
        <w:rPr>
          <w:rFonts w:ascii="Arial" w:hAnsi="Arial" w:cs="Arial"/>
          <w:b/>
          <w:color w:val="000000"/>
          <w:sz w:val="22"/>
        </w:rPr>
        <w:t>Uzasadnienie</w:t>
      </w:r>
    </w:p>
    <w:p w:rsidR="006A149B" w:rsidRPr="006A149B" w:rsidRDefault="006A149B" w:rsidP="006A149B">
      <w:pPr>
        <w:jc w:val="center"/>
        <w:rPr>
          <w:rFonts w:ascii="Arial" w:hAnsi="Arial" w:cs="Arial"/>
          <w:b/>
          <w:color w:val="000000"/>
          <w:sz w:val="22"/>
        </w:rPr>
      </w:pPr>
    </w:p>
    <w:p w:rsidR="006A149B" w:rsidRPr="006A149B" w:rsidRDefault="006A149B" w:rsidP="006A149B">
      <w:pPr>
        <w:rPr>
          <w:rFonts w:ascii="Arial" w:hAnsi="Arial" w:cs="Arial"/>
          <w:color w:val="000000"/>
          <w:sz w:val="22"/>
        </w:rPr>
      </w:pPr>
      <w:r w:rsidRPr="006A149B">
        <w:rPr>
          <w:rFonts w:ascii="Arial" w:hAnsi="Arial" w:cs="Arial"/>
          <w:color w:val="000000"/>
          <w:sz w:val="22"/>
        </w:rPr>
        <w:tab/>
        <w:t>Po sprecyzowaniu powództwa na rozprawie w dniu 22.10.2020r.  w zakresie oznaczenia strony pozwanej (k.129), powódka Malwina Chruścicka domagała się zasądzenia od pozwanego Urzędu Miasta i Gminy Wschowa odszkodowania w kwocie 12.690 zł z tytułu niezgodnego z prawem wypowiedzenia umowy o pracę, z ustawowymi odsetkami za opóźnienie.  Uzasadniając powództwo podała, że była zatrudniona w pozwanym w wymiarze 7/8 etatu na stanowisku pełnomocnika Burmistrza do spraw profilaktyki i młodzieży i w wymiarze 1/8 etatu na stanowisku inspektora do spraw profilaktyki i młodzieży. Po przeprowadzonych w 2018 roku wyborach samorządowych nastąpiła zmiana na stanowisku Burmistrza Miasta i Gminy Wschowa i nowy Burmistrz zarządzeniem z dnia 20.02.2019r. wprowadził nowy Regulamin Organizacyjny Urzędu Miasta i Gminy Wschowa.  W dniu 13.06.2019r. powódka otrzymała dwa oświadczenia o rozwiązaniu umowy o pracę z zachowaniem okresu wypowiedzenia. W treści obu oświadczeń pracodawca wskazał, iż przyczyną wypowiedzenia jest „reorganizacja Urzędu i związana z reorganizacją likwidacja stanowiska i niemożność dalszego zatrudniania na tym stanowisku”. W ocenie powódki, przyczyna wypowiedzenia jest nieprawdziwa, gdyż wprawdzie nowy Regulamin nie przewiduje stanowisk o takiej samej nazwie, jakie zajmowała powódka, ale zakres zadań i obowiązków należących dotychczas do powódki jest identyczny z zadaniami przypisanymi w nowym Regulaminie do jednostki nazwanej obecnie Referat Oświaty i Referat spraw społecznych. Faktycznie więc, stanowisko powódki nie zostało zlikwidowane, lecz włączone do struktury innej jednostki organizacyjnej. Tytułem uzupełnienia powódka dodała w pozwie, że  zakres obowiązków należących do powódki stanowi obligatoryjny zakres zadań własnych gminy, co oznacza, że dotychczasowe obowiązki powódki muszą być nadal realizowane (k.2-8).</w:t>
      </w:r>
    </w:p>
    <w:p w:rsidR="006A149B" w:rsidRPr="006A149B" w:rsidRDefault="006A149B" w:rsidP="006A149B">
      <w:pPr>
        <w:rPr>
          <w:rFonts w:ascii="Arial" w:hAnsi="Arial" w:cs="Arial"/>
          <w:color w:val="000000"/>
          <w:sz w:val="22"/>
        </w:rPr>
      </w:pPr>
      <w:r w:rsidRPr="006A149B">
        <w:rPr>
          <w:rFonts w:ascii="Arial" w:hAnsi="Arial" w:cs="Arial"/>
          <w:color w:val="000000"/>
          <w:sz w:val="22"/>
        </w:rPr>
        <w:tab/>
        <w:t xml:space="preserve">W odpowiedzi na pozew pozwany Urząd Miasta i Gminy Wschowa wniósł o oddalenie powództwa. Pozwany zarzucił, że przed wręczeniem wypowiedzenia zaproponował powódce zawarcie porozumienia, na mocy którego powódka mogłaby kontynuować zatrudnienie w pozwanym w pełnym wymiarze  na stanowisku Inspektora ds. Gospodarki Lokalowej w Biurze Gospodarki Komunalnej i Środowiska, ale powódka odmówiła zawarcia takiego porozumienia. W tej sytuacji pozwany nie miał innej możliwości, jak tylko wypowiedzieć stosunek pracy powódce z jednoczesnym powierzeniem obowiązków powódki Pani </w:t>
      </w:r>
      <w:r w:rsidR="00FA5992">
        <w:rPr>
          <w:rFonts w:ascii="Arial" w:hAnsi="Arial" w:cs="Arial"/>
          <w:color w:val="000000"/>
          <w:sz w:val="22"/>
        </w:rPr>
        <w:t>(…)</w:t>
      </w:r>
      <w:r w:rsidRPr="006A149B">
        <w:rPr>
          <w:rFonts w:ascii="Arial" w:hAnsi="Arial" w:cs="Arial"/>
          <w:color w:val="000000"/>
          <w:sz w:val="22"/>
        </w:rPr>
        <w:t xml:space="preserve">.  Jednocześnie pozwany zawarł umowę zlecenia z panią </w:t>
      </w:r>
      <w:r w:rsidR="00FA5992">
        <w:rPr>
          <w:rFonts w:ascii="Arial" w:hAnsi="Arial" w:cs="Arial"/>
          <w:color w:val="000000"/>
          <w:sz w:val="22"/>
        </w:rPr>
        <w:t>(…)</w:t>
      </w:r>
      <w:r w:rsidRPr="006A149B">
        <w:rPr>
          <w:rFonts w:ascii="Arial" w:hAnsi="Arial" w:cs="Arial"/>
          <w:color w:val="000000"/>
          <w:sz w:val="22"/>
        </w:rPr>
        <w:t xml:space="preserve">, której przedmiotem była realizacja jednego z dotychczasowych obowiązków powódki, to jest obsługa Punktu Konsultacyjnego we Wschowie w zakresie profilaktyki i młodzieży. W ocenie pozwanego, </w:t>
      </w:r>
      <w:r w:rsidRPr="006A149B">
        <w:rPr>
          <w:rFonts w:ascii="Arial" w:hAnsi="Arial" w:cs="Arial"/>
          <w:color w:val="000000"/>
          <w:sz w:val="22"/>
        </w:rPr>
        <w:lastRenderedPageBreak/>
        <w:t>okoliczność, iż zadania powódki powierzone zostały innemu pracownikowi Urzędu Miasta i Gminy Wschowa, co zostało potwierdzone zakresem ob</w:t>
      </w:r>
      <w:r w:rsidR="00FA5992">
        <w:rPr>
          <w:rFonts w:ascii="Arial" w:hAnsi="Arial" w:cs="Arial"/>
          <w:color w:val="000000"/>
          <w:sz w:val="22"/>
        </w:rPr>
        <w:t xml:space="preserve">owiązków podpisanym przez (…) </w:t>
      </w:r>
      <w:r w:rsidRPr="006A149B">
        <w:rPr>
          <w:rFonts w:ascii="Arial" w:hAnsi="Arial" w:cs="Arial"/>
          <w:color w:val="000000"/>
          <w:sz w:val="22"/>
        </w:rPr>
        <w:t>części powierzone innej osobie w drodze zawartej umowy cywilnoprawnej, nie daje powódce podstaw, by formułować zarzut nieprawdziwości przyczyny wypowiedzenia umowy o pracę (k.72-74).</w:t>
      </w:r>
    </w:p>
    <w:p w:rsidR="006A149B" w:rsidRPr="006A149B" w:rsidRDefault="006A149B" w:rsidP="006A149B">
      <w:pPr>
        <w:rPr>
          <w:rFonts w:ascii="Arial" w:hAnsi="Arial" w:cs="Arial"/>
          <w:color w:val="000000"/>
          <w:sz w:val="22"/>
        </w:rPr>
      </w:pPr>
    </w:p>
    <w:p w:rsidR="006A149B" w:rsidRPr="006A149B" w:rsidRDefault="006A149B" w:rsidP="006A149B">
      <w:pPr>
        <w:jc w:val="center"/>
        <w:rPr>
          <w:rFonts w:ascii="Arial" w:hAnsi="Arial" w:cs="Arial"/>
          <w:b/>
          <w:color w:val="000000"/>
          <w:sz w:val="22"/>
        </w:rPr>
      </w:pPr>
      <w:r w:rsidRPr="006A149B">
        <w:rPr>
          <w:rFonts w:ascii="Arial" w:hAnsi="Arial" w:cs="Arial"/>
          <w:b/>
          <w:color w:val="000000"/>
          <w:sz w:val="22"/>
        </w:rPr>
        <w:t>Sąd ustalił następujący stan faktyczny:</w:t>
      </w:r>
    </w:p>
    <w:p w:rsidR="006A149B" w:rsidRPr="006A149B" w:rsidRDefault="006A149B" w:rsidP="006A149B">
      <w:pPr>
        <w:jc w:val="center"/>
        <w:rPr>
          <w:rFonts w:ascii="Arial" w:hAnsi="Arial" w:cs="Arial"/>
          <w:b/>
          <w:color w:val="000000"/>
          <w:sz w:val="22"/>
        </w:rPr>
      </w:pPr>
    </w:p>
    <w:p w:rsidR="006A149B" w:rsidRPr="006A149B" w:rsidRDefault="006A149B" w:rsidP="006A149B">
      <w:pPr>
        <w:rPr>
          <w:rFonts w:ascii="Arial" w:hAnsi="Arial" w:cs="Arial"/>
          <w:color w:val="000000"/>
          <w:sz w:val="22"/>
        </w:rPr>
      </w:pPr>
      <w:r w:rsidRPr="006A149B">
        <w:rPr>
          <w:rFonts w:ascii="Arial" w:hAnsi="Arial" w:cs="Arial"/>
          <w:color w:val="000000"/>
          <w:sz w:val="22"/>
        </w:rPr>
        <w:tab/>
        <w:t xml:space="preserve"> Powódka Malwina Chruścicka podjęła zatrudnienie w pozwanym Urzędzie  Miasta i Gminy Wschowa w dniu 01.07.2010r. Została zatrudniona w pełnym wymiarze na podstawie umowy o pracę na czas określony na stanowisku podinspektora ds. oświaty. Od dnia 01.01.2011r. kontynuowała zatrudnienie na tym stanowisku na podstawie umowy o pracę na czas nieokreślony. Na mocy porozumienia stron z dnia 04.12.2014r. powódka kontynuowała zatrudnienie w pozwanym na stanowisku pełnomocnika burmistrza ds. profilaktyki i młodzieży. Zakres czynności powódki na tym stanowisku został przestawiony powódce na piśmie w dniu 10.12.2014r. i obejmował:  przeprowadzanie analizy problemów alkoholowych i narkomanii na terenie gminy Wschowa, opracowywanie gminnego projektu „programu profilaktyki i rozwiązywania problemów alkoholowych oraz przeciwdziałania narkomanii dla gminy Wschowa”,  prowadzenie profilaktycznej działalności informacyjnej i edukacyjnej w zakresie alkoholizmu i narkomanii, współpracę z instytucjami i organizacjami w sferze profilaktyki i rozwiązywanie problemów alkoholowych, działania na rzecz tworzenia lokalnej koalicji trzeźwości i szukanie poparcia dla działań na rzecz zmniejszania rozmiarów problemów alkoholowych i narkomanii poprzez udział w programach popierających tę problematykę,  koordynowanie i inicjowanie działań w zakresie kultury i sportu adresowanych do dzieci i młodzieży,  współpraca z Sołtysami Radami Sołeckimi  oraz sprawowanie nadzoru nad wyposażeniem świetlic, wykonywanie innych zadań przewidzianych przepisami prawa oraz wynikających z poleceń bezpośredniego przełożonego w oraz zastępcy burmistrza”.  Na mocy dwóch porozumień stron z dnia 02.01.2015r. stosunek pracy powódki został formalnie rozdzielony na dwa stosunki i w ramach pierwszego powódka  kontynuowała zatrudnienie na stanowisku pełnomocnika burmistrza ds. profilaktyki i </w:t>
      </w:r>
      <w:r w:rsidR="00154B62">
        <w:rPr>
          <w:rFonts w:ascii="Arial" w:hAnsi="Arial" w:cs="Arial"/>
          <w:color w:val="000000"/>
          <w:sz w:val="22"/>
        </w:rPr>
        <w:t>m</w:t>
      </w:r>
      <w:r w:rsidRPr="006A149B">
        <w:rPr>
          <w:rFonts w:ascii="Arial" w:hAnsi="Arial" w:cs="Arial"/>
          <w:color w:val="000000"/>
          <w:sz w:val="22"/>
        </w:rPr>
        <w:t xml:space="preserve">łodzieży w wymiarze 7/8 etatu, a w ramach drugiego kontynuowała zatrudnienie   na stanowisku inspektora ds. </w:t>
      </w:r>
      <w:r w:rsidR="00154B62">
        <w:rPr>
          <w:rFonts w:ascii="Arial" w:hAnsi="Arial" w:cs="Arial"/>
          <w:color w:val="000000"/>
          <w:sz w:val="22"/>
        </w:rPr>
        <w:t>p</w:t>
      </w:r>
      <w:r w:rsidRPr="006A149B">
        <w:rPr>
          <w:rFonts w:ascii="Arial" w:hAnsi="Arial" w:cs="Arial"/>
          <w:color w:val="000000"/>
          <w:sz w:val="22"/>
        </w:rPr>
        <w:t>rofilaktyki i młodzieży w wymiarze 1/8 etatu (dowód: umowy o pracę, porozumienia zmieniające, zakres czynności z dnia 10.12.2014r.  w aktach osobowych powódki).</w:t>
      </w:r>
    </w:p>
    <w:p w:rsidR="006A149B" w:rsidRPr="006A149B" w:rsidRDefault="006A149B" w:rsidP="006A149B">
      <w:pPr>
        <w:rPr>
          <w:rFonts w:ascii="Arial" w:hAnsi="Arial" w:cs="Arial"/>
          <w:color w:val="000000"/>
          <w:sz w:val="22"/>
        </w:rPr>
      </w:pPr>
      <w:r w:rsidRPr="006A149B">
        <w:rPr>
          <w:rFonts w:ascii="Arial" w:hAnsi="Arial" w:cs="Arial"/>
          <w:color w:val="000000"/>
          <w:sz w:val="22"/>
        </w:rPr>
        <w:tab/>
        <w:t xml:space="preserve">Regulamin organizacyjny Urzędu Miasta i Gminy we Wschowie, stanowiący załącznik do Zarządzenia nr 47/2015 Burmistrza Miasta i Gminy Wschowa z dnia 26.02.2015r., określał stanowisko ds. profilaktyki i młodzieży jako samodzielną jednostkę organizacyjną urzędu (§ 8 pkt 9), a stanowisko pełnomocnika burmistrza ds. profilaktyki i młodzieży zaliczał </w:t>
      </w:r>
      <w:r w:rsidRPr="006A149B">
        <w:rPr>
          <w:rFonts w:ascii="Arial" w:hAnsi="Arial" w:cs="Arial"/>
          <w:color w:val="000000"/>
          <w:sz w:val="22"/>
        </w:rPr>
        <w:lastRenderedPageBreak/>
        <w:t>do stanowisk kierowniczych w Urzędzie (§ 9 ust. 2 pkt 11). Zakres działania na stanowisku ds. profilaktyki i młodzieży  określał § 25 Regulaminu (dowód: Regulamin Organizacyjny z dnia 26.02.2015r. k.81-104).</w:t>
      </w:r>
    </w:p>
    <w:p w:rsidR="006A149B" w:rsidRPr="006A149B" w:rsidRDefault="006A149B" w:rsidP="006A149B">
      <w:pPr>
        <w:rPr>
          <w:rFonts w:ascii="Arial" w:hAnsi="Arial" w:cs="Arial"/>
          <w:color w:val="000000"/>
          <w:sz w:val="22"/>
        </w:rPr>
      </w:pPr>
      <w:r w:rsidRPr="006A149B">
        <w:rPr>
          <w:rFonts w:ascii="Arial" w:hAnsi="Arial" w:cs="Arial"/>
          <w:color w:val="000000"/>
          <w:sz w:val="22"/>
        </w:rPr>
        <w:tab/>
        <w:t>W następstwie przeprowadzonych w 2018 roku wyborów samorządowych stanowisko Burmistrza Miasta i Gminy Wschowa objął Konrad Antkowiak. Nowy Burmistrz uznał, że aktualna struktura urzędu jest niewydolna i podjął decyzję o  opracowaniu nowego regulaminu organizacyjnego Urzędu Miasta i Gminy Wschowa. W zakresie stanowiska pracy powódki Burmistrz uznał, że  nie ma potrzeby dalszego funkcjonowania odrębnego stanowiska pracy, jakie do tej pory zajmowała powódka, gdyż  realizowane przez powódkę obowiązki mogą zostać włączone do zakresu obowiązków innego pracownika. Poza tym - w ocenie Burmistrza - niekorzystne było świadczenie przez powódkę pracy w punkcie konsultacyjnym,  mieszczącym się kilkaset metrów od siedziby Urzędu (okoliczności niesporne, a nadto wyjaśnienia Burmistrza K. Antkowiaka k.129).</w:t>
      </w:r>
    </w:p>
    <w:p w:rsidR="006A149B" w:rsidRPr="006A149B" w:rsidRDefault="006A149B" w:rsidP="006A149B">
      <w:pPr>
        <w:rPr>
          <w:rFonts w:ascii="Arial" w:hAnsi="Arial" w:cs="Arial"/>
          <w:color w:val="000000"/>
          <w:sz w:val="22"/>
        </w:rPr>
      </w:pPr>
      <w:r w:rsidRPr="006A149B">
        <w:rPr>
          <w:rFonts w:ascii="Arial" w:hAnsi="Arial" w:cs="Arial"/>
          <w:color w:val="000000"/>
          <w:sz w:val="22"/>
        </w:rPr>
        <w:tab/>
        <w:t>Zarządzeniem Nr 38/2019 z dnia 20 lutego 2019r. Burmistrz Miasta i Gminy Wschowa nadał nowy Regulamin Organizacyjny Urzędu Miasta i Gminy we Wschowie. W zakresie dotyczącym stanowiska pracy powódki Regulamin ten nadal przewiduje samodzielne stanowisko ds. profilaktyki i młodzieży jako odrębną komórkę organizacyjną Urzędu, z tą zmianą w stosunku do poprzedniego Regulaminu, że w nowym Regulaminie stanowisko to jest wyłączone w strukturę nowo utworzonej komórki - Biura Oświaty i Spraw Społecznych (§ 9 ust. 1 pkt 5c). Pomimo  utrzymania stanowiska ds. profilaktyki i młodzieży jako odrębnej komórki organizacyjnej Urzędu, nowy Regulamin nie określa zadań tej komórki, tak jak ma to miejsce w przypadku wszystkich pozostałych komórek organizacyjnych. Regulamin ten w § 20 dotyczącym zadań Biura Oświaty i Spraw Społecznych uwzględnia jedynie dwa zadania realizowane dotychczas przez powódkę, to jest opracowywanie i realizacja Gminnego Programu Rozwiązywania Problemów Alkoholowych oraz Przeciwdziałania Narkomanii oraz działania na rzecz tworzenia i wyznaczenia lokalnej koalicji trzeźwościowej (…).  Zadania te są jednak ujęte w punkcie § 20 pkt 18, obejmującym prowadzenie spraw wojskowych, zakresu dla zarządzania kryzysowego i OC oraz obronnych.  Regulamin `w § 20 dotyczącym zadań Biura Oświaty i Spraw Społecznych bezpośrednio po punkcie 4 zawiera punkt  8 i kolejne.</w:t>
      </w:r>
    </w:p>
    <w:p w:rsidR="006A149B" w:rsidRPr="006A149B" w:rsidRDefault="006A149B" w:rsidP="006A149B">
      <w:pPr>
        <w:rPr>
          <w:rFonts w:ascii="Arial" w:hAnsi="Arial" w:cs="Arial"/>
          <w:color w:val="000000"/>
          <w:sz w:val="22"/>
        </w:rPr>
      </w:pPr>
      <w:r w:rsidRPr="006A149B">
        <w:rPr>
          <w:rFonts w:ascii="Arial" w:hAnsi="Arial" w:cs="Arial"/>
          <w:color w:val="000000"/>
          <w:sz w:val="22"/>
        </w:rPr>
        <w:tab/>
        <w:t xml:space="preserve">Pomimo utrzymania w nowym Regulaminie organizacyjnym stanowiska ds. profilaktyki i młodzieży, w dniu 13.06.2019r. Burmistrz Miasta i Gminy Wschowa złożył powódce oświadczenie woli o wypowiedzeniu umowy o pracę zarówno w zakresie stanowiska inspektora ds. profilaktyki i młodzieży, jak również w zakresie stanowiska pełnomocnika burmistrza ds. profilaktyki i młodzieży, wskazując jako przyczynę wypowiedzenia reorganizację urzędu  i związaną z reorganizacją likwidację stanowiska inspektora ds. profilaktyki i młodzieży z oraz stanowiska pełnomocnika burmistrza ds. </w:t>
      </w:r>
      <w:r w:rsidRPr="006A149B">
        <w:rPr>
          <w:rFonts w:ascii="Arial" w:hAnsi="Arial" w:cs="Arial"/>
          <w:color w:val="000000"/>
          <w:sz w:val="22"/>
        </w:rPr>
        <w:lastRenderedPageBreak/>
        <w:t>profilaktyki i młodzieży skutkującą niemożliwością dalszego zatrudnienia na tych stanowiskach powódki (dowód: wypowiedzenia w aktach osobowych powódki).</w:t>
      </w:r>
    </w:p>
    <w:p w:rsidR="006A149B" w:rsidRPr="006A149B" w:rsidRDefault="006A149B" w:rsidP="006A149B">
      <w:pPr>
        <w:rPr>
          <w:rFonts w:ascii="Arial" w:hAnsi="Arial" w:cs="Arial"/>
          <w:color w:val="000000"/>
          <w:sz w:val="22"/>
        </w:rPr>
      </w:pPr>
      <w:r w:rsidRPr="006A149B">
        <w:rPr>
          <w:rFonts w:ascii="Arial" w:hAnsi="Arial" w:cs="Arial"/>
          <w:color w:val="000000"/>
          <w:sz w:val="22"/>
        </w:rPr>
        <w:tab/>
        <w:t xml:space="preserve">Po  wypowiedzeniu powódce umowy o pracę Burmistrz Miasta i Gminy Wschowa w dniu 1.07.2019r.  poszerzył zakres obowiązków pracownicy zatrudnionej w Biurze Oświaty i Spraw Społecznych </w:t>
      </w:r>
      <w:r w:rsidR="00154B62">
        <w:rPr>
          <w:rFonts w:ascii="Arial" w:hAnsi="Arial" w:cs="Arial"/>
          <w:color w:val="000000"/>
          <w:sz w:val="22"/>
        </w:rPr>
        <w:t xml:space="preserve">(…) </w:t>
      </w:r>
      <w:r w:rsidRPr="006A149B">
        <w:rPr>
          <w:rFonts w:ascii="Arial" w:hAnsi="Arial" w:cs="Arial"/>
          <w:color w:val="000000"/>
          <w:sz w:val="22"/>
        </w:rPr>
        <w:t xml:space="preserve">o wszystkie obowiązki realizowane dotychczas przez powódkę, za wyjątkiem obowiązku polegającego na  obsłudze punktu konsultacyjnego, który to obowiązek w dniu 17.07.2019r. przekazał  na podstawie umowy zlecenia </w:t>
      </w:r>
      <w:r w:rsidR="00154B62">
        <w:rPr>
          <w:rFonts w:ascii="Arial" w:hAnsi="Arial" w:cs="Arial"/>
          <w:color w:val="000000"/>
          <w:sz w:val="22"/>
        </w:rPr>
        <w:t>(…)</w:t>
      </w:r>
      <w:r w:rsidRPr="006A149B">
        <w:rPr>
          <w:rFonts w:ascii="Arial" w:hAnsi="Arial" w:cs="Arial"/>
          <w:color w:val="000000"/>
          <w:sz w:val="22"/>
        </w:rPr>
        <w:t xml:space="preserve"> (dowód: zakres czynności </w:t>
      </w:r>
      <w:r w:rsidR="00154B62">
        <w:rPr>
          <w:rFonts w:ascii="Arial" w:hAnsi="Arial" w:cs="Arial"/>
          <w:color w:val="000000"/>
          <w:sz w:val="22"/>
        </w:rPr>
        <w:t>(…)</w:t>
      </w:r>
      <w:r w:rsidRPr="006A149B">
        <w:rPr>
          <w:rFonts w:ascii="Arial" w:hAnsi="Arial" w:cs="Arial"/>
          <w:color w:val="000000"/>
          <w:sz w:val="22"/>
        </w:rPr>
        <w:t xml:space="preserve"> z dnia 1.07.2019r. w jej aktach osobowych, umowa zlecenia k.76).</w:t>
      </w:r>
    </w:p>
    <w:p w:rsidR="006A149B" w:rsidRPr="006A149B" w:rsidRDefault="006A149B" w:rsidP="006A149B">
      <w:pPr>
        <w:rPr>
          <w:rFonts w:ascii="Arial" w:hAnsi="Arial" w:cs="Arial"/>
          <w:color w:val="000000"/>
          <w:sz w:val="22"/>
        </w:rPr>
      </w:pPr>
      <w:r w:rsidRPr="006A149B">
        <w:rPr>
          <w:rFonts w:ascii="Arial" w:hAnsi="Arial" w:cs="Arial"/>
          <w:color w:val="000000"/>
          <w:sz w:val="22"/>
        </w:rPr>
        <w:tab/>
        <w:t>Stan faktyczny sprawy Sąd ustalił na podstawie wyżej powołanej dowodów, albowiem dowody te ocenił jako wiarygodne, a żadna ze stron dowodów tych  nie kwestionowała. W toku postępowania postanowieniem z dnia 26.11.2019r. (k.130) Sąd na podstawie art. 235</w:t>
      </w:r>
      <w:r w:rsidRPr="006A149B">
        <w:rPr>
          <w:rFonts w:ascii="Arial" w:hAnsi="Arial" w:cs="Arial"/>
          <w:color w:val="000000"/>
          <w:sz w:val="22"/>
          <w:vertAlign w:val="superscript"/>
        </w:rPr>
        <w:t>2</w:t>
      </w:r>
      <w:r w:rsidRPr="006A149B">
        <w:rPr>
          <w:rFonts w:ascii="Arial" w:hAnsi="Arial" w:cs="Arial"/>
          <w:color w:val="000000"/>
          <w:sz w:val="22"/>
        </w:rPr>
        <w:t xml:space="preserve"> pkt 2 k.p.c.  pominął wymienione w postanowieniu dowody, uznając je za nieistotne dla rozstrzygnięcia  sprawy.</w:t>
      </w:r>
    </w:p>
    <w:p w:rsidR="006A149B" w:rsidRPr="006A149B" w:rsidRDefault="006A149B" w:rsidP="006A149B">
      <w:pPr>
        <w:rPr>
          <w:rFonts w:ascii="Arial" w:hAnsi="Arial" w:cs="Arial"/>
          <w:color w:val="000000"/>
          <w:sz w:val="22"/>
        </w:rPr>
      </w:pPr>
    </w:p>
    <w:p w:rsidR="006A149B" w:rsidRPr="006A149B" w:rsidRDefault="006A149B" w:rsidP="006A149B">
      <w:pPr>
        <w:jc w:val="center"/>
        <w:rPr>
          <w:rFonts w:ascii="Arial" w:hAnsi="Arial" w:cs="Arial"/>
          <w:b/>
          <w:color w:val="000000"/>
          <w:sz w:val="22"/>
        </w:rPr>
      </w:pPr>
      <w:r w:rsidRPr="006A149B">
        <w:rPr>
          <w:rFonts w:ascii="Arial" w:hAnsi="Arial" w:cs="Arial"/>
          <w:b/>
          <w:color w:val="000000"/>
          <w:sz w:val="22"/>
        </w:rPr>
        <w:t>Sąd zważył, co następuje:</w:t>
      </w:r>
    </w:p>
    <w:p w:rsidR="006A149B" w:rsidRPr="006A149B" w:rsidRDefault="006A149B" w:rsidP="006A149B">
      <w:pPr>
        <w:rPr>
          <w:rFonts w:ascii="Arial" w:hAnsi="Arial" w:cs="Arial"/>
          <w:color w:val="000000"/>
          <w:sz w:val="22"/>
        </w:rPr>
      </w:pPr>
    </w:p>
    <w:p w:rsidR="006A149B" w:rsidRPr="006A149B" w:rsidRDefault="006A149B" w:rsidP="006A149B">
      <w:pPr>
        <w:rPr>
          <w:rFonts w:ascii="Arial" w:hAnsi="Arial" w:cs="Arial"/>
          <w:color w:val="000000"/>
          <w:sz w:val="22"/>
        </w:rPr>
      </w:pPr>
      <w:r w:rsidRPr="006A149B">
        <w:rPr>
          <w:rFonts w:ascii="Arial" w:hAnsi="Arial" w:cs="Arial"/>
          <w:color w:val="000000"/>
          <w:sz w:val="22"/>
        </w:rPr>
        <w:tab/>
        <w:t xml:space="preserve">Powództwo należało uwzględnić, albowiem wypowiedzenie powódce umowy o pracę Sąd ocenił jako nieuzasadnione i naruszające przepisy o wypowiadaniu umów o pracę w rozumieniu art. 45 § 1 k.p. </w:t>
      </w:r>
    </w:p>
    <w:p w:rsidR="006A149B" w:rsidRPr="006A149B" w:rsidRDefault="006A149B" w:rsidP="006A149B">
      <w:pPr>
        <w:rPr>
          <w:rFonts w:ascii="Arial" w:hAnsi="Arial" w:cs="Arial"/>
          <w:color w:val="000000"/>
          <w:sz w:val="22"/>
        </w:rPr>
      </w:pPr>
      <w:r w:rsidRPr="006A149B">
        <w:rPr>
          <w:rFonts w:ascii="Arial" w:hAnsi="Arial" w:cs="Arial"/>
          <w:color w:val="000000"/>
          <w:sz w:val="22"/>
        </w:rPr>
        <w:tab/>
        <w:t xml:space="preserve">Antycypując zważania odnoszące się do meritum sprawy, celowe jest na wstępie wskazanie, iż w istocie rzeczy strony były związane jednym stosunkiem pracy i w konsekwencji oba oświadczenia woli pozwanego w przedmiocie wypowiedzenia powódce umowy o pracę należało poddać prawnej ocenie, jako jedno oświadczenie woli w przedmiocie wypowiedzenia powódce umowy o pracę. </w:t>
      </w:r>
    </w:p>
    <w:p w:rsidR="006A149B" w:rsidRPr="006A149B" w:rsidRDefault="006A149B" w:rsidP="006A149B">
      <w:pPr>
        <w:ind w:firstLine="480"/>
        <w:rPr>
          <w:rFonts w:ascii="Arial" w:eastAsia="Times New Roman" w:hAnsi="Arial" w:cs="Arial"/>
          <w:sz w:val="22"/>
          <w:lang w:eastAsia="pl-PL"/>
        </w:rPr>
      </w:pPr>
      <w:r w:rsidRPr="006A149B">
        <w:rPr>
          <w:rFonts w:ascii="Arial" w:hAnsi="Arial" w:cs="Arial"/>
          <w:color w:val="000000"/>
          <w:sz w:val="22"/>
        </w:rPr>
        <w:tab/>
        <w:t>Punktem wyjścia dla oceny, czy pozwany wypowiedział powódce umowę o pracę zgodnie z prawem,  było dla Sądu  ustalenie treści pojęcia – „stanowisko pracy”  i przy ustalaniu treści tego pojęcia Sąd  wziął pod uwagę wypowiedzi w tym zakresie doktryny i orzecznictwa.</w:t>
      </w:r>
      <w:r w:rsidRPr="006A149B">
        <w:rPr>
          <w:rFonts w:ascii="Arial" w:eastAsia="Times New Roman" w:hAnsi="Arial" w:cs="Arial"/>
          <w:sz w:val="22"/>
          <w:lang w:eastAsia="pl-PL"/>
        </w:rPr>
        <w:tab/>
        <w:t xml:space="preserve">Pojęcie "stanowisko pracy" nie jest zdefiniowane w podstawowych aktach prawa pracy, a w szczególności w Kodeksie pracy, chociaż wielokrotnie w nim występuje. Ustalenia jego znaczenia należy więc poszukiwać w orzecznictwie i doktrynie prawa pracy. Według orzecznictwa pojęcie "stanowisko pracy" używane jest w dwóch głównych znaczeniach. Po pierwsze, używa się go zamiast lub obok pojęcia "rodzaj pracy". Przez "stanowisko pracy" rozumie się więc ogół czynności organicznie związanych z tym stanowiskiem (zestaw jego funkcji). Termin ten jest innym sposobem wyrażenia tego, co można oddać za pomocą słowa "funkcja". Mówiąc o stanowisku pracy, ma się wtedy na uwadze wszystkie funkcje przypisane do danego stanowiska. W tym znaczeniu używa się zwrotu, że "pracownik zajmuje określone stanowisko". Po drugie, przyjmuje się, że </w:t>
      </w:r>
      <w:r w:rsidRPr="006A149B">
        <w:rPr>
          <w:rFonts w:ascii="Arial" w:eastAsia="Times New Roman" w:hAnsi="Arial" w:cs="Arial"/>
          <w:sz w:val="22"/>
          <w:lang w:eastAsia="pl-PL"/>
        </w:rPr>
        <w:lastRenderedPageBreak/>
        <w:t xml:space="preserve">"stanowisko pracy" stanowi element struktury organizacyjnej zakładu pracy (w znaczeniu przedmiotowym), jej najmniejszą jednostkę o określonym celu i zakresie działania (zob. wyrok Sądu Najwyższego z 9 marca 2011 r., </w:t>
      </w:r>
      <w:hyperlink r:id="rId7" w:anchor="hiperlinkText.rpc?hiperlink=type=tresc:nro=OrzeczSad.1162162:ver=0&amp;full=1" w:tgtFrame="_parent" w:history="1">
        <w:r w:rsidRPr="006A149B">
          <w:rPr>
            <w:rStyle w:val="Hipercze"/>
            <w:rFonts w:ascii="Arial" w:eastAsia="Times New Roman" w:hAnsi="Arial" w:cs="Arial"/>
            <w:sz w:val="22"/>
            <w:lang w:eastAsia="pl-PL"/>
          </w:rPr>
          <w:t>II PK 225/10</w:t>
        </w:r>
      </w:hyperlink>
      <w:r w:rsidRPr="006A149B">
        <w:rPr>
          <w:rFonts w:ascii="Arial" w:eastAsia="Times New Roman" w:hAnsi="Arial" w:cs="Arial"/>
          <w:sz w:val="22"/>
          <w:lang w:eastAsia="pl-PL"/>
        </w:rPr>
        <w:t xml:space="preserve">, LEX nr 1162162). </w:t>
      </w:r>
    </w:p>
    <w:p w:rsidR="006A149B" w:rsidRPr="006A149B" w:rsidRDefault="006A149B" w:rsidP="006A149B">
      <w:pPr>
        <w:ind w:firstLine="480"/>
        <w:rPr>
          <w:rFonts w:ascii="Arial" w:eastAsia="Times New Roman" w:hAnsi="Arial" w:cs="Arial"/>
          <w:sz w:val="22"/>
          <w:u w:val="single"/>
          <w:lang w:eastAsia="pl-PL"/>
        </w:rPr>
      </w:pPr>
      <w:r w:rsidRPr="006A149B">
        <w:rPr>
          <w:rFonts w:ascii="Arial" w:eastAsia="Times New Roman" w:hAnsi="Arial" w:cs="Arial"/>
          <w:sz w:val="22"/>
          <w:lang w:eastAsia="pl-PL"/>
        </w:rPr>
        <w:tab/>
        <w:t>W celu ustalenia tożsamości danych stanowisk pracy istotne jest nie tylko ich formalne wyodrębnienie w strukturze organizacyjnej zakładu pracy (przez wskazanie, nadanie określonej nazwy), lecz przede wszystkim ustalenie zakresu obowiązków i funkcji do nich przypisanych, a więc określenie rodzaju pracy wykonywanej przez pracownika. (zob. wyrok Sądu Najwyższego z 8 maja 2019r., II PK 40/18, Lex nr 2692181).</w:t>
      </w:r>
    </w:p>
    <w:p w:rsidR="006A149B" w:rsidRPr="006A149B" w:rsidRDefault="006A149B" w:rsidP="006A149B">
      <w:pPr>
        <w:rPr>
          <w:rFonts w:ascii="Arial" w:hAnsi="Arial" w:cs="Arial"/>
          <w:color w:val="000000"/>
          <w:sz w:val="22"/>
        </w:rPr>
      </w:pPr>
      <w:r w:rsidRPr="006A149B">
        <w:rPr>
          <w:rFonts w:ascii="Arial" w:hAnsi="Arial" w:cs="Arial"/>
          <w:color w:val="000000"/>
          <w:sz w:val="22"/>
        </w:rPr>
        <w:tab/>
        <w:t xml:space="preserve">Mając na względzie powyższą argumentację prawną stwierdzić należy, iż wypowiedzenie powódce umowy o pracę nie było uzasadnione w świetle wskazanej powódce przyczyny w tym sensie, że wbrew stwierdzeniu pozwanego zawartemu w oświadczeniu o wypowiedzeniu powódce stosunku pracy, reorganizacja Urzędu Miasta i Gminy Wschowa nie spowodowała  likwidacji stanowiska pracy powódki. Po pierwsze, nowy Regulamin nadal przewiduje stanowisko ds. profilaktyki i młodzieży, po drugie i najistotniejsze,  w sprawie bezsporne jest, że wszystkie zadania powódki pozwany nadal realizuje. Z porównania  zakresu czynności powódki w brzmieniu z daty  wypowiedzenia umowy o pracę i aktualnego zakresu czynności pracownicy </w:t>
      </w:r>
      <w:r w:rsidR="00154B62">
        <w:rPr>
          <w:rFonts w:ascii="Arial" w:hAnsi="Arial" w:cs="Arial"/>
          <w:color w:val="000000"/>
          <w:sz w:val="22"/>
        </w:rPr>
        <w:t xml:space="preserve">(…) </w:t>
      </w:r>
      <w:r w:rsidRPr="006A149B">
        <w:rPr>
          <w:rFonts w:ascii="Arial" w:hAnsi="Arial" w:cs="Arial"/>
          <w:color w:val="000000"/>
          <w:sz w:val="22"/>
        </w:rPr>
        <w:t>wynika, że pracownica ta przejęła wszystkie czynności związane z dotychczasowym stanowiskiem pracy powódki, za wyjątkiem czynności przekazanych do realizacji  innej osobie na podstawie umowy zlecenia (prowadzenie profilaktycznej działalności informacyjnej i edukacyjnej w formie punku konsultacyjnego). W konsekwencji uznać należy, że pozwany nie dokonał rzeczywistej  likwidacji stanowiska pracy powódki we wskazanym wyżej zasadniczym  rozumieniu, to jest jako ogół czynności organicznie związanych z dotychczasowym  stanowiskiem pracy powódki (zestaw jego funkcji). Dokonanie przez Sąd ustalenia, że stanowisko powódki formalnie nie uległo likwidacji, a przede wszystkim dokonanie ustalenia, że zakres obowiązków i funkcji związanych ze stanowiskiem pracy powódki nie uległ likwidacji, sprzeciwia się uznaniu, że stanowisko pracy powódki uległo likwidacji.</w:t>
      </w:r>
    </w:p>
    <w:p w:rsidR="006A149B" w:rsidRPr="006A149B" w:rsidRDefault="006A149B" w:rsidP="006A149B">
      <w:pPr>
        <w:rPr>
          <w:rFonts w:ascii="Arial" w:hAnsi="Arial" w:cs="Arial"/>
          <w:color w:val="000000"/>
          <w:sz w:val="22"/>
        </w:rPr>
      </w:pPr>
      <w:r w:rsidRPr="006A149B">
        <w:rPr>
          <w:rFonts w:ascii="Arial" w:hAnsi="Arial" w:cs="Arial"/>
          <w:color w:val="000000"/>
          <w:sz w:val="22"/>
        </w:rPr>
        <w:tab/>
        <w:t xml:space="preserve">Ustalony w niniejszej sprawie stan faktyczny daje podstawę nie tylko do uznania, że wypowiadając powódce umowę pozwany uchybił art. 45 § 1 k.p. poprzez nieuzasadnione wypowiedzenie powódce umowy o pracę, ale dodatkowo daje podstawę do uznania, że pozwany uchybił  art. 45 § 1 k.p. także poprzez naruszenie przepisów o wypowiadaniu umów o pracę, a konkretnie poprzez naruszenie art. 30 § 4 k.p.  Zgodnie z powołanym przepisem,  </w:t>
      </w:r>
      <w:r w:rsidRPr="006A149B">
        <w:rPr>
          <w:rFonts w:ascii="Arial" w:hAnsi="Arial" w:cs="Arial"/>
          <w:color w:val="000000"/>
          <w:sz w:val="22"/>
          <w:shd w:val="clear" w:color="auto" w:fill="FFFFFF"/>
        </w:rPr>
        <w:t>w oświadczeniu pracodawcy o wypowiedzeniu umowy o pracę zawartej na czas nieokreślony powinna być wskazana przyczyna uzasadniająca wypowiedzenie lub rozwiązanie umowy.</w:t>
      </w:r>
      <w:r w:rsidRPr="006A149B">
        <w:rPr>
          <w:rFonts w:ascii="Arial" w:hAnsi="Arial" w:cs="Arial"/>
          <w:color w:val="000000"/>
          <w:sz w:val="22"/>
        </w:rPr>
        <w:t xml:space="preserve"> W aktualnym orzecznictwie Sądu Najwyższego niekwestionowany jest pogląd, że w przypadku konieczności wypowiedzenia umowy o pracę z przyczyn niedotyczących pracownika jednej, bądź większej liczbie pracowników zatrudnionym na takich samych stanowiskach pracy, (ale </w:t>
      </w:r>
      <w:r w:rsidRPr="006A149B">
        <w:rPr>
          <w:rFonts w:ascii="Arial" w:hAnsi="Arial" w:cs="Arial"/>
          <w:color w:val="000000"/>
          <w:sz w:val="22"/>
        </w:rPr>
        <w:lastRenderedPageBreak/>
        <w:t xml:space="preserve">nie wszystkim), powinność wskazania przyczyny wypowiedzenia obejmuje także przedstawienie pracownikowi zastosowanych kryteriów doboru do zwolnienia (zob. wyrok SN z dnia 02.06.2017r. II PK 114/16, Lex nr 2329445). Analogicznie rzecz się ma w przypadku potrzeby dokonania wypowiedzenia umowy o pracę z przyczyn niedotyczących pracownika w następstwie łączenia stanowisk pracy, co miało miejsce w niniejszej sprawie. Decydując się na faktyczne połączenie stanowiska pracy powódki ze stanowiskiem pracy pracownicy </w:t>
      </w:r>
      <w:r w:rsidR="00154B62">
        <w:rPr>
          <w:rFonts w:ascii="Arial" w:hAnsi="Arial" w:cs="Arial"/>
          <w:color w:val="000000"/>
          <w:sz w:val="22"/>
        </w:rPr>
        <w:t>(…)</w:t>
      </w:r>
      <w:r w:rsidRPr="006A149B">
        <w:rPr>
          <w:rFonts w:ascii="Arial" w:hAnsi="Arial" w:cs="Arial"/>
          <w:color w:val="000000"/>
          <w:sz w:val="22"/>
        </w:rPr>
        <w:t xml:space="preserve"> pozwany nie przedstawił powódce kryteriów, jakie legły u podstaw jego decyzji o pozostawieniu w stosunku pracy </w:t>
      </w:r>
      <w:r w:rsidR="00154B62">
        <w:rPr>
          <w:rFonts w:ascii="Arial" w:hAnsi="Arial" w:cs="Arial"/>
          <w:color w:val="000000"/>
          <w:sz w:val="22"/>
        </w:rPr>
        <w:t>(…)</w:t>
      </w:r>
      <w:r w:rsidRPr="006A149B">
        <w:rPr>
          <w:rFonts w:ascii="Arial" w:hAnsi="Arial" w:cs="Arial"/>
          <w:color w:val="000000"/>
          <w:sz w:val="22"/>
        </w:rPr>
        <w:t xml:space="preserve"> i dokonaniu wypowiedzenia stosunku pracy powódce. W ten sposób pozwany dopuścił się do naruszenia art. 30 § 4 k.p. Charakterystycznym aspektem niniejszej sprawy jest okoliczność, iż składając wyjaśnienia przed Sądem  sam Burmistrz Konrad Antkowiak oświadczył, że nie wie co zdecydowało o zakwalifikowaniu do wypowiedzenia powódki, a nie pracownicy </w:t>
      </w:r>
      <w:r w:rsidR="00154B62">
        <w:rPr>
          <w:rFonts w:ascii="Arial" w:hAnsi="Arial" w:cs="Arial"/>
          <w:color w:val="000000"/>
          <w:sz w:val="22"/>
        </w:rPr>
        <w:t>(…)</w:t>
      </w:r>
      <w:r w:rsidRPr="006A149B">
        <w:rPr>
          <w:rFonts w:ascii="Arial" w:hAnsi="Arial" w:cs="Arial"/>
          <w:color w:val="000000"/>
          <w:sz w:val="22"/>
        </w:rPr>
        <w:t>, gdyż kwestia ta została rozstrzygnięta pomiędzy Wiceburmistrzem i Dyrektorem Biura Oświaty i Spraw Społecznych (k.129v).</w:t>
      </w:r>
    </w:p>
    <w:p w:rsidR="006A149B" w:rsidRPr="006A149B" w:rsidRDefault="006A149B" w:rsidP="006A149B">
      <w:pPr>
        <w:rPr>
          <w:rFonts w:ascii="Arial" w:hAnsi="Arial" w:cs="Arial"/>
          <w:color w:val="000000"/>
          <w:sz w:val="22"/>
          <w:shd w:val="clear" w:color="auto" w:fill="FFFFFF"/>
        </w:rPr>
      </w:pPr>
      <w:r w:rsidRPr="006A149B">
        <w:rPr>
          <w:rFonts w:ascii="Arial" w:hAnsi="Arial" w:cs="Arial"/>
          <w:color w:val="000000"/>
          <w:sz w:val="22"/>
        </w:rPr>
        <w:tab/>
        <w:t xml:space="preserve">Rygor natychmiastowej wykonalności Sąd nadał wyrokowi na podstawę art. </w:t>
      </w:r>
      <w:r w:rsidRPr="006A149B">
        <w:rPr>
          <w:rFonts w:ascii="Arial" w:hAnsi="Arial" w:cs="Arial"/>
          <w:bCs/>
          <w:color w:val="000000"/>
          <w:sz w:val="22"/>
        </w:rPr>
        <w:t>477</w:t>
      </w:r>
      <w:r w:rsidRPr="006A149B">
        <w:rPr>
          <w:rFonts w:ascii="Arial" w:hAnsi="Arial" w:cs="Arial"/>
          <w:bCs/>
          <w:color w:val="000000"/>
          <w:sz w:val="22"/>
          <w:vertAlign w:val="superscript"/>
        </w:rPr>
        <w:t>2</w:t>
      </w:r>
      <w:r w:rsidRPr="006A149B">
        <w:rPr>
          <w:rFonts w:ascii="Arial" w:hAnsi="Arial" w:cs="Arial"/>
          <w:color w:val="000000"/>
          <w:sz w:val="22"/>
          <w:shd w:val="clear" w:color="auto" w:fill="FFFFFF"/>
        </w:rPr>
        <w:t> § 1 k.p.c.</w:t>
      </w:r>
    </w:p>
    <w:p w:rsidR="006A149B" w:rsidRPr="006A149B" w:rsidRDefault="006A149B" w:rsidP="006A149B">
      <w:pPr>
        <w:rPr>
          <w:rFonts w:ascii="Arial" w:hAnsi="Arial" w:cs="Arial"/>
          <w:color w:val="000000"/>
          <w:sz w:val="22"/>
          <w:shd w:val="clear" w:color="auto" w:fill="FFFFFF"/>
        </w:rPr>
      </w:pPr>
      <w:r w:rsidRPr="006A149B">
        <w:rPr>
          <w:rFonts w:ascii="Arial" w:hAnsi="Arial" w:cs="Arial"/>
          <w:color w:val="000000"/>
          <w:sz w:val="22"/>
          <w:shd w:val="clear" w:color="auto" w:fill="FFFFFF"/>
        </w:rPr>
        <w:tab/>
        <w:t>Orzeczenie w zakresie kosztów procesu Sąd wydał na podstawie art. 98 i 99 k.p.c., art. 13 ust. 1 pkt 5 i 113 ust. 1 ustawy z dnia 28 lipca 2005r. o kosztach sądowych w sprawach cywilnych (Dz.U.2019.785 j.t.) oraz na podstawie § 9 ust. 1 pkt 1 rozporządzenia Ministra Sprawiedliwości z dnia 22 października 2015r. w sprawie opłat za czynności radców prawnych (Dz.U.2018.265 j.t.).</w:t>
      </w:r>
    </w:p>
    <w:p w:rsidR="006A149B" w:rsidRPr="006A149B" w:rsidRDefault="006A149B" w:rsidP="006A149B">
      <w:pPr>
        <w:rPr>
          <w:rFonts w:ascii="Arial" w:hAnsi="Arial" w:cs="Arial"/>
          <w:color w:val="000000"/>
          <w:sz w:val="22"/>
          <w:shd w:val="clear" w:color="auto" w:fill="FFFFFF"/>
        </w:rPr>
      </w:pPr>
    </w:p>
    <w:p w:rsidR="006A149B" w:rsidRPr="006A149B" w:rsidRDefault="006A149B" w:rsidP="006A149B">
      <w:pPr>
        <w:rPr>
          <w:rFonts w:ascii="Arial" w:hAnsi="Arial" w:cs="Arial"/>
          <w:color w:val="000000"/>
          <w:sz w:val="22"/>
          <w:shd w:val="clear" w:color="auto" w:fill="FFFFFF"/>
        </w:rPr>
      </w:pPr>
    </w:p>
    <w:p w:rsidR="006A149B" w:rsidRPr="006A149B" w:rsidRDefault="006A149B" w:rsidP="006A149B">
      <w:pPr>
        <w:rPr>
          <w:rFonts w:ascii="Arial" w:hAnsi="Arial" w:cs="Arial"/>
          <w:color w:val="000000"/>
          <w:sz w:val="22"/>
          <w:shd w:val="clear" w:color="auto" w:fill="FFFFFF"/>
        </w:rPr>
      </w:pPr>
    </w:p>
    <w:p w:rsidR="006A149B" w:rsidRPr="006A149B" w:rsidRDefault="006A149B" w:rsidP="006A149B">
      <w:pPr>
        <w:rPr>
          <w:rFonts w:ascii="Arial" w:hAnsi="Arial" w:cs="Arial"/>
          <w:color w:val="000000"/>
          <w:sz w:val="22"/>
          <w:shd w:val="clear" w:color="auto" w:fill="FFFFFF"/>
        </w:rPr>
      </w:pPr>
    </w:p>
    <w:p w:rsidR="006A149B" w:rsidRPr="006A149B" w:rsidRDefault="006A149B" w:rsidP="006A149B">
      <w:pPr>
        <w:rPr>
          <w:rFonts w:ascii="Arial" w:hAnsi="Arial" w:cs="Arial"/>
          <w:color w:val="000000"/>
          <w:sz w:val="22"/>
          <w:shd w:val="clear" w:color="auto" w:fill="FFFFFF"/>
        </w:rPr>
      </w:pPr>
    </w:p>
    <w:p w:rsidR="006A149B" w:rsidRPr="006A149B" w:rsidRDefault="006A149B" w:rsidP="006A149B">
      <w:pPr>
        <w:rPr>
          <w:rFonts w:ascii="Arial" w:hAnsi="Arial" w:cs="Arial"/>
          <w:color w:val="000000"/>
          <w:sz w:val="22"/>
          <w:shd w:val="clear" w:color="auto" w:fill="FFFFFF"/>
        </w:rPr>
      </w:pPr>
    </w:p>
    <w:p w:rsidR="006A149B" w:rsidRPr="006A149B" w:rsidRDefault="006A149B" w:rsidP="006A149B">
      <w:pPr>
        <w:rPr>
          <w:rFonts w:ascii="Arial" w:hAnsi="Arial" w:cs="Arial"/>
          <w:color w:val="000000"/>
          <w:sz w:val="22"/>
          <w:shd w:val="clear" w:color="auto" w:fill="FFFFFF"/>
        </w:rPr>
      </w:pPr>
    </w:p>
    <w:p w:rsidR="006A149B" w:rsidRPr="006A149B" w:rsidRDefault="006A149B" w:rsidP="006A149B">
      <w:pPr>
        <w:rPr>
          <w:rFonts w:ascii="Arial" w:hAnsi="Arial" w:cs="Arial"/>
          <w:color w:val="000000"/>
          <w:sz w:val="22"/>
          <w:shd w:val="clear" w:color="auto" w:fill="FFFFFF"/>
        </w:rPr>
      </w:pPr>
    </w:p>
    <w:p w:rsidR="006A149B" w:rsidRPr="006A149B" w:rsidRDefault="006A149B" w:rsidP="006A149B">
      <w:pPr>
        <w:rPr>
          <w:rFonts w:ascii="Arial" w:hAnsi="Arial" w:cs="Arial"/>
          <w:color w:val="000000"/>
          <w:sz w:val="22"/>
          <w:shd w:val="clear" w:color="auto" w:fill="FFFFFF"/>
        </w:rPr>
      </w:pPr>
    </w:p>
    <w:p w:rsidR="006A149B" w:rsidRPr="006A149B" w:rsidRDefault="006A149B" w:rsidP="006A149B">
      <w:pPr>
        <w:rPr>
          <w:rFonts w:ascii="Arial" w:hAnsi="Arial" w:cs="Arial"/>
          <w:color w:val="000000"/>
          <w:sz w:val="22"/>
          <w:shd w:val="clear" w:color="auto" w:fill="FFFFFF"/>
        </w:rPr>
      </w:pPr>
    </w:p>
    <w:p w:rsidR="006A149B" w:rsidRPr="006A149B" w:rsidRDefault="006A149B" w:rsidP="006A149B">
      <w:pPr>
        <w:rPr>
          <w:rFonts w:ascii="Arial" w:hAnsi="Arial" w:cs="Arial"/>
          <w:color w:val="000000"/>
          <w:sz w:val="22"/>
          <w:shd w:val="clear" w:color="auto" w:fill="FFFFFF"/>
        </w:rPr>
      </w:pPr>
    </w:p>
    <w:p w:rsidR="006A149B" w:rsidRPr="006A149B" w:rsidRDefault="006A149B" w:rsidP="006A149B">
      <w:pPr>
        <w:rPr>
          <w:rFonts w:ascii="Arial" w:hAnsi="Arial" w:cs="Arial"/>
          <w:color w:val="000000"/>
          <w:sz w:val="22"/>
          <w:shd w:val="clear" w:color="auto" w:fill="FFFFFF"/>
        </w:rPr>
      </w:pPr>
    </w:p>
    <w:p w:rsidR="006A149B" w:rsidRPr="006A149B" w:rsidRDefault="006A149B" w:rsidP="006A149B">
      <w:pPr>
        <w:rPr>
          <w:rFonts w:ascii="Arial" w:hAnsi="Arial" w:cs="Arial"/>
          <w:color w:val="000000"/>
          <w:sz w:val="22"/>
          <w:shd w:val="clear" w:color="auto" w:fill="FFFFFF"/>
        </w:rPr>
      </w:pPr>
    </w:p>
    <w:p w:rsidR="006A149B" w:rsidRPr="006A149B" w:rsidRDefault="006A149B" w:rsidP="006A149B">
      <w:pPr>
        <w:rPr>
          <w:rFonts w:ascii="Arial" w:hAnsi="Arial" w:cs="Arial"/>
          <w:color w:val="000000"/>
          <w:sz w:val="22"/>
          <w:shd w:val="clear" w:color="auto" w:fill="FFFFFF"/>
        </w:rPr>
      </w:pPr>
    </w:p>
    <w:p w:rsidR="006A149B" w:rsidRPr="006A149B" w:rsidRDefault="006A149B" w:rsidP="006A149B">
      <w:pPr>
        <w:rPr>
          <w:rFonts w:ascii="Arial" w:hAnsi="Arial" w:cs="Arial"/>
          <w:color w:val="000000"/>
          <w:sz w:val="22"/>
          <w:shd w:val="clear" w:color="auto" w:fill="FFFFFF"/>
        </w:rPr>
      </w:pPr>
    </w:p>
    <w:p w:rsidR="006A149B" w:rsidRPr="006A149B" w:rsidRDefault="006A149B" w:rsidP="006A149B">
      <w:pPr>
        <w:rPr>
          <w:rFonts w:ascii="Arial" w:hAnsi="Arial" w:cs="Arial"/>
          <w:color w:val="000000"/>
          <w:sz w:val="22"/>
          <w:shd w:val="clear" w:color="auto" w:fill="FFFFFF"/>
        </w:rPr>
      </w:pPr>
    </w:p>
    <w:p w:rsidR="006A149B" w:rsidRPr="006A149B" w:rsidRDefault="006A149B" w:rsidP="006A149B">
      <w:pPr>
        <w:rPr>
          <w:rFonts w:ascii="Arial" w:hAnsi="Arial" w:cs="Arial"/>
          <w:color w:val="000000"/>
          <w:sz w:val="22"/>
          <w:shd w:val="clear" w:color="auto" w:fill="FFFFFF"/>
        </w:rPr>
      </w:pPr>
    </w:p>
    <w:p w:rsidR="006A149B" w:rsidRPr="006A149B" w:rsidRDefault="006A149B" w:rsidP="006A149B">
      <w:pPr>
        <w:rPr>
          <w:rFonts w:ascii="Arial" w:hAnsi="Arial" w:cs="Arial"/>
          <w:color w:val="000000"/>
          <w:sz w:val="22"/>
          <w:shd w:val="clear" w:color="auto" w:fill="FFFFFF"/>
        </w:rPr>
      </w:pPr>
    </w:p>
    <w:p w:rsidR="006A149B" w:rsidRPr="006A149B" w:rsidRDefault="006A149B" w:rsidP="006A149B">
      <w:pPr>
        <w:jc w:val="center"/>
        <w:rPr>
          <w:rFonts w:ascii="Arial" w:hAnsi="Arial" w:cs="Arial"/>
          <w:b/>
          <w:color w:val="000000"/>
          <w:sz w:val="22"/>
          <w:shd w:val="clear" w:color="auto" w:fill="FFFFFF"/>
        </w:rPr>
      </w:pPr>
      <w:r w:rsidRPr="006A149B">
        <w:rPr>
          <w:rFonts w:ascii="Arial" w:hAnsi="Arial" w:cs="Arial"/>
          <w:b/>
          <w:color w:val="000000"/>
          <w:sz w:val="22"/>
          <w:shd w:val="clear" w:color="auto" w:fill="FFFFFF"/>
        </w:rPr>
        <w:t>Zarządzenie:</w:t>
      </w:r>
    </w:p>
    <w:p w:rsidR="006A149B" w:rsidRPr="006A149B" w:rsidRDefault="0028269A" w:rsidP="006A149B">
      <w:pPr>
        <w:pStyle w:val="Akapitzlist"/>
        <w:numPr>
          <w:ilvl w:val="0"/>
          <w:numId w:val="1"/>
        </w:numPr>
        <w:rPr>
          <w:rFonts w:ascii="Arial" w:hAnsi="Arial" w:cs="Arial"/>
          <w:color w:val="000000"/>
          <w:sz w:val="22"/>
          <w:shd w:val="clear" w:color="auto" w:fill="FFFFFF"/>
        </w:rPr>
      </w:pPr>
      <w:r>
        <w:rPr>
          <w:rFonts w:ascii="Arial" w:hAnsi="Arial" w:cs="Arial"/>
          <w:color w:val="000000"/>
          <w:sz w:val="22"/>
          <w:shd w:val="clear" w:color="auto" w:fill="FFFFFF"/>
        </w:rPr>
        <w:t>odnotować w k</w:t>
      </w:r>
      <w:r w:rsidR="006A149B" w:rsidRPr="006A149B">
        <w:rPr>
          <w:rFonts w:ascii="Arial" w:hAnsi="Arial" w:cs="Arial"/>
          <w:color w:val="000000"/>
          <w:sz w:val="22"/>
          <w:shd w:val="clear" w:color="auto" w:fill="FFFFFF"/>
        </w:rPr>
        <w:t>ontrolce uzasadnień;</w:t>
      </w:r>
    </w:p>
    <w:p w:rsidR="006A149B" w:rsidRPr="006A149B" w:rsidRDefault="006A149B" w:rsidP="006A149B">
      <w:pPr>
        <w:pStyle w:val="Akapitzlist"/>
        <w:numPr>
          <w:ilvl w:val="0"/>
          <w:numId w:val="1"/>
        </w:numPr>
        <w:rPr>
          <w:rFonts w:ascii="Arial" w:hAnsi="Arial" w:cs="Arial"/>
          <w:color w:val="000000"/>
          <w:sz w:val="22"/>
          <w:shd w:val="clear" w:color="auto" w:fill="FFFFFF"/>
        </w:rPr>
      </w:pPr>
      <w:r w:rsidRPr="006A149B">
        <w:rPr>
          <w:rFonts w:ascii="Arial" w:hAnsi="Arial" w:cs="Arial"/>
          <w:color w:val="000000"/>
          <w:sz w:val="22"/>
          <w:shd w:val="clear" w:color="auto" w:fill="FFFFFF"/>
        </w:rPr>
        <w:t>odpis wyroku z uzasadnieniem doręczyć pełnomocnikowi pozwanego;</w:t>
      </w:r>
    </w:p>
    <w:p w:rsidR="006A149B" w:rsidRPr="006A149B" w:rsidRDefault="006A149B" w:rsidP="006A149B">
      <w:pPr>
        <w:pStyle w:val="Akapitzlist"/>
        <w:numPr>
          <w:ilvl w:val="0"/>
          <w:numId w:val="1"/>
        </w:numPr>
        <w:rPr>
          <w:rFonts w:ascii="Arial" w:hAnsi="Arial" w:cs="Arial"/>
          <w:color w:val="000000"/>
          <w:sz w:val="22"/>
          <w:shd w:val="clear" w:color="auto" w:fill="FFFFFF"/>
        </w:rPr>
      </w:pPr>
      <w:r w:rsidRPr="006A149B">
        <w:rPr>
          <w:rFonts w:ascii="Arial" w:hAnsi="Arial" w:cs="Arial"/>
          <w:color w:val="000000"/>
          <w:sz w:val="22"/>
          <w:shd w:val="clear" w:color="auto" w:fill="FFFFFF"/>
        </w:rPr>
        <w:t>akta przedłożyć za 14 dni lub z apelacją.</w:t>
      </w:r>
    </w:p>
    <w:p w:rsidR="006A149B" w:rsidRPr="006A149B" w:rsidRDefault="006A149B" w:rsidP="006A149B">
      <w:pPr>
        <w:rPr>
          <w:rFonts w:ascii="Arial" w:hAnsi="Arial" w:cs="Arial"/>
          <w:color w:val="000000"/>
          <w:sz w:val="22"/>
          <w:shd w:val="clear" w:color="auto" w:fill="FFFFFF"/>
        </w:rPr>
      </w:pPr>
    </w:p>
    <w:p w:rsidR="006A149B" w:rsidRPr="006A149B" w:rsidRDefault="008C12D6" w:rsidP="006A149B">
      <w:pPr>
        <w:rPr>
          <w:rFonts w:ascii="Arial" w:hAnsi="Arial" w:cs="Arial"/>
          <w:color w:val="000000"/>
          <w:sz w:val="22"/>
          <w:shd w:val="clear" w:color="auto" w:fill="FFFFFF"/>
        </w:rPr>
      </w:pPr>
      <w:r>
        <w:rPr>
          <w:rFonts w:ascii="Arial" w:hAnsi="Arial" w:cs="Arial"/>
          <w:color w:val="000000"/>
          <w:sz w:val="22"/>
          <w:shd w:val="clear" w:color="auto" w:fill="FFFFFF"/>
        </w:rPr>
        <w:t>Nowa Sól, 03</w:t>
      </w:r>
      <w:r w:rsidR="006A149B" w:rsidRPr="006A149B">
        <w:rPr>
          <w:rFonts w:ascii="Arial" w:hAnsi="Arial" w:cs="Arial"/>
          <w:color w:val="000000"/>
          <w:sz w:val="22"/>
          <w:shd w:val="clear" w:color="auto" w:fill="FFFFFF"/>
        </w:rPr>
        <w:t>-02-2020r.</w:t>
      </w:r>
    </w:p>
    <w:p w:rsidR="006A149B" w:rsidRPr="006A149B" w:rsidRDefault="006A149B" w:rsidP="006A149B">
      <w:pPr>
        <w:rPr>
          <w:rFonts w:ascii="Arial" w:hAnsi="Arial" w:cs="Arial"/>
          <w:color w:val="000000"/>
          <w:sz w:val="22"/>
        </w:rPr>
      </w:pPr>
    </w:p>
    <w:p w:rsidR="00847188" w:rsidRPr="006A149B" w:rsidRDefault="00847188" w:rsidP="00057C55">
      <w:pPr>
        <w:rPr>
          <w:rFonts w:cs="Times New Roman"/>
          <w:color w:val="000000"/>
          <w:sz w:val="22"/>
        </w:rPr>
      </w:pPr>
    </w:p>
    <w:sectPr w:rsidR="00847188" w:rsidRPr="006A149B" w:rsidSect="00F769F4">
      <w:footerReference w:type="default" r:id="rId8"/>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F70D1" w:rsidRDefault="004F70D1" w:rsidP="006A149B">
      <w:pPr>
        <w:spacing w:line="240" w:lineRule="auto"/>
      </w:pPr>
      <w:r>
        <w:separator/>
      </w:r>
    </w:p>
  </w:endnote>
  <w:endnote w:type="continuationSeparator" w:id="1">
    <w:p w:rsidR="004F70D1" w:rsidRDefault="004F70D1" w:rsidP="006A149B">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436513401"/>
      <w:docPartObj>
        <w:docPartGallery w:val="Page Numbers (Bottom of Page)"/>
        <w:docPartUnique/>
      </w:docPartObj>
    </w:sdtPr>
    <w:sdtContent>
      <w:p w:rsidR="006A149B" w:rsidRDefault="009B194F">
        <w:pPr>
          <w:pStyle w:val="Stopka"/>
          <w:jc w:val="center"/>
        </w:pPr>
        <w:r>
          <w:fldChar w:fldCharType="begin"/>
        </w:r>
        <w:r w:rsidR="006A149B">
          <w:instrText>PAGE   \* MERGEFORMAT</w:instrText>
        </w:r>
        <w:r>
          <w:fldChar w:fldCharType="separate"/>
        </w:r>
        <w:r w:rsidR="0018578D">
          <w:rPr>
            <w:noProof/>
          </w:rPr>
          <w:t>6</w:t>
        </w:r>
        <w:r>
          <w:fldChar w:fldCharType="end"/>
        </w:r>
      </w:p>
    </w:sdtContent>
  </w:sdt>
  <w:p w:rsidR="006A149B" w:rsidRDefault="006A149B">
    <w:pPr>
      <w:pStyle w:val="Stopk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F70D1" w:rsidRDefault="004F70D1" w:rsidP="006A149B">
      <w:pPr>
        <w:spacing w:line="240" w:lineRule="auto"/>
      </w:pPr>
      <w:r>
        <w:separator/>
      </w:r>
    </w:p>
  </w:footnote>
  <w:footnote w:type="continuationSeparator" w:id="1">
    <w:p w:rsidR="004F70D1" w:rsidRDefault="004F70D1" w:rsidP="006A149B">
      <w:pPr>
        <w:spacing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42412DB"/>
    <w:multiLevelType w:val="hybridMultilevel"/>
    <w:tmpl w:val="D7AA46E0"/>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0"/>
    <w:footnote w:id="1"/>
  </w:footnotePr>
  <w:endnotePr>
    <w:endnote w:id="0"/>
    <w:endnote w:id="1"/>
  </w:endnotePr>
  <w:compat/>
  <w:rsids>
    <w:rsidRoot w:val="003C001D"/>
    <w:rsid w:val="000064E3"/>
    <w:rsid w:val="00013863"/>
    <w:rsid w:val="000308CC"/>
    <w:rsid w:val="00042728"/>
    <w:rsid w:val="00057C55"/>
    <w:rsid w:val="000A01E4"/>
    <w:rsid w:val="000C64D3"/>
    <w:rsid w:val="000F44D0"/>
    <w:rsid w:val="001520A6"/>
    <w:rsid w:val="00154B62"/>
    <w:rsid w:val="00160DFF"/>
    <w:rsid w:val="00166E14"/>
    <w:rsid w:val="00183180"/>
    <w:rsid w:val="0018578D"/>
    <w:rsid w:val="001873EC"/>
    <w:rsid w:val="001B7F37"/>
    <w:rsid w:val="001C760F"/>
    <w:rsid w:val="002033ED"/>
    <w:rsid w:val="0021606A"/>
    <w:rsid w:val="002220E2"/>
    <w:rsid w:val="0022389F"/>
    <w:rsid w:val="00232552"/>
    <w:rsid w:val="00256F99"/>
    <w:rsid w:val="0028269A"/>
    <w:rsid w:val="002B174D"/>
    <w:rsid w:val="002B3EE7"/>
    <w:rsid w:val="002B7222"/>
    <w:rsid w:val="002B7E80"/>
    <w:rsid w:val="0032039F"/>
    <w:rsid w:val="003231DF"/>
    <w:rsid w:val="003310AA"/>
    <w:rsid w:val="00337EB2"/>
    <w:rsid w:val="003477FE"/>
    <w:rsid w:val="003A1E3A"/>
    <w:rsid w:val="003C001D"/>
    <w:rsid w:val="003C56B6"/>
    <w:rsid w:val="003C7C0F"/>
    <w:rsid w:val="003E4DF8"/>
    <w:rsid w:val="003E6177"/>
    <w:rsid w:val="00405801"/>
    <w:rsid w:val="00411788"/>
    <w:rsid w:val="00455840"/>
    <w:rsid w:val="00456377"/>
    <w:rsid w:val="0046224C"/>
    <w:rsid w:val="00464020"/>
    <w:rsid w:val="004B0E76"/>
    <w:rsid w:val="004F5251"/>
    <w:rsid w:val="004F70D1"/>
    <w:rsid w:val="005314F4"/>
    <w:rsid w:val="005655A2"/>
    <w:rsid w:val="005971A4"/>
    <w:rsid w:val="005A0376"/>
    <w:rsid w:val="005C5BBD"/>
    <w:rsid w:val="005D2F00"/>
    <w:rsid w:val="00641640"/>
    <w:rsid w:val="00641CF7"/>
    <w:rsid w:val="0067290E"/>
    <w:rsid w:val="00676048"/>
    <w:rsid w:val="0068793E"/>
    <w:rsid w:val="006A149B"/>
    <w:rsid w:val="006C74D7"/>
    <w:rsid w:val="006C7B4A"/>
    <w:rsid w:val="006D41FD"/>
    <w:rsid w:val="006E03A0"/>
    <w:rsid w:val="006E477D"/>
    <w:rsid w:val="007115FC"/>
    <w:rsid w:val="0074311F"/>
    <w:rsid w:val="00764D35"/>
    <w:rsid w:val="007741DD"/>
    <w:rsid w:val="007879C0"/>
    <w:rsid w:val="007B1BC4"/>
    <w:rsid w:val="007B5A17"/>
    <w:rsid w:val="007F1DD1"/>
    <w:rsid w:val="0081797E"/>
    <w:rsid w:val="008465D3"/>
    <w:rsid w:val="00847188"/>
    <w:rsid w:val="00855AC1"/>
    <w:rsid w:val="00855F68"/>
    <w:rsid w:val="00860D13"/>
    <w:rsid w:val="0086769D"/>
    <w:rsid w:val="00884B2D"/>
    <w:rsid w:val="008867C1"/>
    <w:rsid w:val="0088781E"/>
    <w:rsid w:val="008A415B"/>
    <w:rsid w:val="008C12D6"/>
    <w:rsid w:val="008D39E5"/>
    <w:rsid w:val="008D6F2C"/>
    <w:rsid w:val="008E13D0"/>
    <w:rsid w:val="00910B82"/>
    <w:rsid w:val="009333EF"/>
    <w:rsid w:val="00983F8C"/>
    <w:rsid w:val="009B194F"/>
    <w:rsid w:val="009B3768"/>
    <w:rsid w:val="009E16FF"/>
    <w:rsid w:val="00A1661F"/>
    <w:rsid w:val="00A20977"/>
    <w:rsid w:val="00A24D58"/>
    <w:rsid w:val="00A64F43"/>
    <w:rsid w:val="00A84128"/>
    <w:rsid w:val="00AB7930"/>
    <w:rsid w:val="00AC11F0"/>
    <w:rsid w:val="00AC640A"/>
    <w:rsid w:val="00AD436D"/>
    <w:rsid w:val="00AE55DE"/>
    <w:rsid w:val="00AF5523"/>
    <w:rsid w:val="00B36861"/>
    <w:rsid w:val="00B47760"/>
    <w:rsid w:val="00B8140E"/>
    <w:rsid w:val="00B818F4"/>
    <w:rsid w:val="00B92A4D"/>
    <w:rsid w:val="00B96E0E"/>
    <w:rsid w:val="00BA7278"/>
    <w:rsid w:val="00BC02DC"/>
    <w:rsid w:val="00C06A53"/>
    <w:rsid w:val="00C11E09"/>
    <w:rsid w:val="00C34F67"/>
    <w:rsid w:val="00C5082C"/>
    <w:rsid w:val="00C804B3"/>
    <w:rsid w:val="00CB7D81"/>
    <w:rsid w:val="00CE37E2"/>
    <w:rsid w:val="00CE3923"/>
    <w:rsid w:val="00D07BE1"/>
    <w:rsid w:val="00D21ED5"/>
    <w:rsid w:val="00D32381"/>
    <w:rsid w:val="00D37944"/>
    <w:rsid w:val="00D42ADE"/>
    <w:rsid w:val="00D47B37"/>
    <w:rsid w:val="00D66631"/>
    <w:rsid w:val="00D75413"/>
    <w:rsid w:val="00D84A06"/>
    <w:rsid w:val="00DA5482"/>
    <w:rsid w:val="00DA5B7A"/>
    <w:rsid w:val="00DC1960"/>
    <w:rsid w:val="00DF7A85"/>
    <w:rsid w:val="00E05E94"/>
    <w:rsid w:val="00E528EF"/>
    <w:rsid w:val="00E71139"/>
    <w:rsid w:val="00EB27D2"/>
    <w:rsid w:val="00F1399C"/>
    <w:rsid w:val="00F56438"/>
    <w:rsid w:val="00F769F4"/>
    <w:rsid w:val="00F956DD"/>
    <w:rsid w:val="00FA5992"/>
    <w:rsid w:val="00FC3D11"/>
    <w:rsid w:val="00FF3DC2"/>
    <w:rsid w:val="00FF63BD"/>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line="360"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7879C0"/>
    <w:rPr>
      <w:rFonts w:ascii="Times New Roman" w:hAnsi="Times New Roman"/>
      <w:sz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6A149B"/>
    <w:pPr>
      <w:ind w:left="720"/>
      <w:contextualSpacing/>
    </w:pPr>
  </w:style>
  <w:style w:type="character" w:styleId="Hipercze">
    <w:name w:val="Hyperlink"/>
    <w:basedOn w:val="Domylnaczcionkaakapitu"/>
    <w:uiPriority w:val="99"/>
    <w:semiHidden/>
    <w:unhideWhenUsed/>
    <w:rsid w:val="006A149B"/>
    <w:rPr>
      <w:color w:val="0000FF"/>
      <w:u w:val="single"/>
    </w:rPr>
  </w:style>
  <w:style w:type="paragraph" w:styleId="Nagwek">
    <w:name w:val="header"/>
    <w:basedOn w:val="Normalny"/>
    <w:link w:val="NagwekZnak"/>
    <w:uiPriority w:val="99"/>
    <w:unhideWhenUsed/>
    <w:rsid w:val="006A149B"/>
    <w:pPr>
      <w:tabs>
        <w:tab w:val="center" w:pos="4536"/>
        <w:tab w:val="right" w:pos="9072"/>
      </w:tabs>
      <w:spacing w:line="240" w:lineRule="auto"/>
    </w:pPr>
  </w:style>
  <w:style w:type="character" w:customStyle="1" w:styleId="NagwekZnak">
    <w:name w:val="Nagłówek Znak"/>
    <w:basedOn w:val="Domylnaczcionkaakapitu"/>
    <w:link w:val="Nagwek"/>
    <w:uiPriority w:val="99"/>
    <w:rsid w:val="006A149B"/>
    <w:rPr>
      <w:rFonts w:ascii="Times New Roman" w:hAnsi="Times New Roman"/>
      <w:sz w:val="24"/>
    </w:rPr>
  </w:style>
  <w:style w:type="paragraph" w:styleId="Stopka">
    <w:name w:val="footer"/>
    <w:basedOn w:val="Normalny"/>
    <w:link w:val="StopkaZnak"/>
    <w:uiPriority w:val="99"/>
    <w:unhideWhenUsed/>
    <w:rsid w:val="006A149B"/>
    <w:pPr>
      <w:tabs>
        <w:tab w:val="center" w:pos="4536"/>
        <w:tab w:val="right" w:pos="9072"/>
      </w:tabs>
      <w:spacing w:line="240" w:lineRule="auto"/>
    </w:pPr>
  </w:style>
  <w:style w:type="character" w:customStyle="1" w:styleId="StopkaZnak">
    <w:name w:val="Stopka Znak"/>
    <w:basedOn w:val="Domylnaczcionkaakapitu"/>
    <w:link w:val="Stopka"/>
    <w:uiPriority w:val="99"/>
    <w:rsid w:val="006A149B"/>
    <w:rPr>
      <w:rFonts w:ascii="Times New Roman" w:hAnsi="Times New Roman"/>
      <w:sz w:val="24"/>
    </w:rPr>
  </w:style>
  <w:style w:type="paragraph" w:styleId="Tekstdymka">
    <w:name w:val="Balloon Text"/>
    <w:basedOn w:val="Normalny"/>
    <w:link w:val="TekstdymkaZnak"/>
    <w:uiPriority w:val="99"/>
    <w:semiHidden/>
    <w:unhideWhenUsed/>
    <w:rsid w:val="006A149B"/>
    <w:pPr>
      <w:spacing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6A149B"/>
    <w:rPr>
      <w:rFonts w:ascii="Segoe UI" w:hAnsi="Segoe UI" w:cs="Segoe UI"/>
      <w:sz w:val="18"/>
      <w:szCs w:val="18"/>
    </w:rPr>
  </w:style>
</w:styles>
</file>

<file path=word/webSettings.xml><?xml version="1.0" encoding="utf-8"?>
<w:webSettings xmlns:r="http://schemas.openxmlformats.org/officeDocument/2006/relationships" xmlns:w="http://schemas.openxmlformats.org/wordprocessingml/2006/main">
  <w:divs>
    <w:div w:id="12412528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lex.online.wolterskluwer.pl/WKPLOnline/index.rpc"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7</Pages>
  <Words>2531</Words>
  <Characters>13696</Characters>
  <Application>Microsoft Office Word</Application>
  <DocSecurity>0</DocSecurity>
  <Lines>201</Lines>
  <Paragraphs>55</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16172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Andrzej Bogucki</dc:creator>
  <cp:lastModifiedBy>BeeWeb</cp:lastModifiedBy>
  <cp:revision>3</cp:revision>
  <cp:lastPrinted>2020-02-10T09:43:00Z</cp:lastPrinted>
  <dcterms:created xsi:type="dcterms:W3CDTF">2021-03-10T10:44:00Z</dcterms:created>
  <dcterms:modified xsi:type="dcterms:W3CDTF">2021-03-11T17:02:00Z</dcterms:modified>
</cp:coreProperties>
</file>